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14CE" w:rsidRPr="00D67F44" w:rsidRDefault="004A7C5D" w:rsidP="00D67F44">
      <w:pPr>
        <w:jc w:val="center"/>
        <w:rPr>
          <w:rFonts w:ascii="Arial" w:hAnsi="Arial" w:cs="Arial"/>
          <w:b/>
          <w:sz w:val="24"/>
          <w:szCs w:val="24"/>
        </w:rPr>
      </w:pPr>
      <w:r w:rsidRPr="00D67F44">
        <w:rPr>
          <w:rFonts w:ascii="Arial" w:hAnsi="Arial" w:cs="Arial"/>
          <w:b/>
          <w:sz w:val="24"/>
          <w:szCs w:val="24"/>
        </w:rPr>
        <w:t>Concepto de biomasa</w:t>
      </w:r>
      <w:r w:rsidR="00D67F44">
        <w:rPr>
          <w:rFonts w:ascii="Arial" w:hAnsi="Arial" w:cs="Arial"/>
          <w:b/>
          <w:sz w:val="24"/>
          <w:szCs w:val="24"/>
        </w:rPr>
        <w:t>.</w:t>
      </w:r>
    </w:p>
    <w:p w:rsidR="004A7C5D" w:rsidRPr="004A7C5D" w:rsidRDefault="004A7C5D" w:rsidP="004A7C5D">
      <w:pPr>
        <w:rPr>
          <w:rFonts w:ascii="Arial" w:hAnsi="Arial" w:cs="Arial"/>
          <w:sz w:val="28"/>
          <w:szCs w:val="28"/>
        </w:rPr>
      </w:pPr>
      <w:r w:rsidRPr="00D67F44">
        <w:rPr>
          <w:rFonts w:ascii="Arial" w:hAnsi="Arial" w:cs="Arial"/>
          <w:sz w:val="28"/>
          <w:szCs w:val="28"/>
        </w:rPr>
        <w:t>La biomasa es una fuente de energía renovable, y puede definirse como toda materia orgánica resultante, directa o indirectamente del proceso de fotosíntesis. Siguiendo esa definición, los árboles, plantas, animales e incluso las personas somos consideradas biomasa. En general, para su aprovechamiento energético, solemos asociarla a la madera y distintos tipos de residuos domésticos, agrícolas y ganaderos</w:t>
      </w:r>
      <w:r w:rsidRPr="004A7C5D">
        <w:rPr>
          <w:rFonts w:ascii="Arial" w:hAnsi="Arial" w:cs="Arial"/>
          <w:sz w:val="28"/>
          <w:szCs w:val="28"/>
        </w:rPr>
        <w:t xml:space="preserve">. </w:t>
      </w:r>
    </w:p>
    <w:p w:rsidR="004A7C5D" w:rsidRDefault="004A7C5D" w:rsidP="004A7C5D">
      <w:pPr>
        <w:rPr>
          <w:rFonts w:ascii="Arial" w:hAnsi="Arial" w:cs="Arial"/>
          <w:sz w:val="28"/>
          <w:szCs w:val="28"/>
        </w:rPr>
      </w:pPr>
      <w:r>
        <w:rPr>
          <w:rFonts w:ascii="Arial" w:hAnsi="Arial" w:cs="Arial"/>
          <w:noProof/>
          <w:sz w:val="28"/>
          <w:szCs w:val="28"/>
          <w:lang w:val="es-AR" w:eastAsia="es-AR"/>
        </w:rPr>
        <w:drawing>
          <wp:inline distT="0" distB="0" distL="0" distR="0">
            <wp:extent cx="5612130" cy="3029849"/>
            <wp:effectExtent l="1905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612130" cy="3029849"/>
                    </a:xfrm>
                    <a:prstGeom prst="rect">
                      <a:avLst/>
                    </a:prstGeom>
                    <a:noFill/>
                    <a:ln w="9525">
                      <a:noFill/>
                      <a:miter lim="800000"/>
                      <a:headEnd/>
                      <a:tailEnd/>
                    </a:ln>
                  </pic:spPr>
                </pic:pic>
              </a:graphicData>
            </a:graphic>
          </wp:inline>
        </w:drawing>
      </w:r>
    </w:p>
    <w:p w:rsidR="00B55852" w:rsidRDefault="00B55852" w:rsidP="00B55852">
      <w:pPr>
        <w:pStyle w:val="Default"/>
      </w:pPr>
    </w:p>
    <w:p w:rsidR="00B55852" w:rsidRPr="00D67F44" w:rsidRDefault="00B55852" w:rsidP="00D67F44">
      <w:pPr>
        <w:jc w:val="center"/>
        <w:rPr>
          <w:rFonts w:ascii="Arial" w:hAnsi="Arial" w:cs="Arial"/>
          <w:b/>
          <w:sz w:val="24"/>
          <w:szCs w:val="24"/>
        </w:rPr>
      </w:pPr>
      <w:r w:rsidRPr="00D67F44">
        <w:rPr>
          <w:rFonts w:ascii="Arial" w:hAnsi="Arial" w:cs="Arial"/>
          <w:b/>
          <w:sz w:val="24"/>
          <w:szCs w:val="24"/>
        </w:rPr>
        <w:t>¿Qué son las energías renovables?</w:t>
      </w:r>
    </w:p>
    <w:p w:rsidR="00B55852" w:rsidRPr="00D67F44" w:rsidRDefault="00B55852" w:rsidP="00B55852">
      <w:pPr>
        <w:rPr>
          <w:rFonts w:ascii="Arial" w:hAnsi="Arial" w:cs="Arial"/>
          <w:sz w:val="28"/>
          <w:szCs w:val="28"/>
        </w:rPr>
      </w:pPr>
      <w:r w:rsidRPr="00D67F44">
        <w:rPr>
          <w:rFonts w:ascii="Arial" w:hAnsi="Arial" w:cs="Arial"/>
          <w:sz w:val="28"/>
          <w:szCs w:val="28"/>
        </w:rPr>
        <w:t xml:space="preserve">A lo largo de miles de años, el hombre ha contado con su propia fuerza muscular (energía endosomática) y la de los animales como única fuente de energía. Después del descubrimiento del fuego, comenzó a emplear la madera para proporcionar calor, luz y cocinar los alimentos. Posteriormente, utilizó los hornos para fabricar y trabajar con los metales (cobre, bronce o hierro), o bien cocer arcilla para la obtención de ladrillos y utensilios culinarios. De este modo, el combustible se utilizaba para generar calor a baja temperatura y proporcionar confort en los hogares de la población, o bien a alta </w:t>
      </w:r>
      <w:r w:rsidRPr="00D67F44">
        <w:rPr>
          <w:rFonts w:ascii="Arial" w:hAnsi="Arial" w:cs="Arial"/>
          <w:sz w:val="28"/>
          <w:szCs w:val="28"/>
        </w:rPr>
        <w:lastRenderedPageBreak/>
        <w:t xml:space="preserve">temperatura para la producción de luz y provocar cambios físicos y químicos que hacían más útiles a ciertos materiales. </w:t>
      </w:r>
    </w:p>
    <w:p w:rsidR="00B55852" w:rsidRPr="00D67F44" w:rsidRDefault="00B55852" w:rsidP="00B55852">
      <w:pPr>
        <w:rPr>
          <w:rFonts w:ascii="Arial" w:hAnsi="Arial" w:cs="Arial"/>
          <w:sz w:val="28"/>
          <w:szCs w:val="28"/>
        </w:rPr>
      </w:pPr>
      <w:r w:rsidRPr="00D67F44">
        <w:rPr>
          <w:rFonts w:ascii="Arial" w:hAnsi="Arial" w:cs="Arial"/>
          <w:sz w:val="28"/>
          <w:szCs w:val="28"/>
        </w:rPr>
        <w:t xml:space="preserve">Con el avance de la ciencia, el descubrimiento y explotación del carbón mineral, el gas natural y el petróleo, la utilización a gran escala de combustibles fósiles y nucleares dio origen a la sociedad industrializada. </w:t>
      </w:r>
    </w:p>
    <w:p w:rsidR="00B55852" w:rsidRPr="00D67F44" w:rsidRDefault="00B55852" w:rsidP="00B55852">
      <w:pPr>
        <w:rPr>
          <w:rFonts w:ascii="Arial" w:hAnsi="Arial" w:cs="Arial"/>
          <w:sz w:val="28"/>
          <w:szCs w:val="28"/>
        </w:rPr>
      </w:pPr>
      <w:r w:rsidRPr="00D67F44">
        <w:rPr>
          <w:rFonts w:ascii="Arial" w:hAnsi="Arial" w:cs="Arial"/>
          <w:sz w:val="28"/>
          <w:szCs w:val="28"/>
        </w:rPr>
        <w:t xml:space="preserve">El uso de la energía está íntimamente ligado a la mayor parte de las actividades esenciales para el crecimiento y desarrollo, como la preparación, distribución y conservación de los alimentos, la construcción, la industria, el transporte, las comunicaciones, etc. (FUNIBER, 2018)1. </w:t>
      </w:r>
    </w:p>
    <w:p w:rsidR="00B55852" w:rsidRPr="00D67F44" w:rsidRDefault="00B55852" w:rsidP="00B55852">
      <w:pPr>
        <w:rPr>
          <w:rFonts w:ascii="Arial" w:hAnsi="Arial" w:cs="Arial"/>
          <w:sz w:val="28"/>
          <w:szCs w:val="28"/>
        </w:rPr>
      </w:pPr>
      <w:r w:rsidRPr="00D67F44">
        <w:rPr>
          <w:rFonts w:ascii="Arial" w:hAnsi="Arial" w:cs="Arial"/>
          <w:sz w:val="28"/>
          <w:szCs w:val="28"/>
        </w:rPr>
        <w:t xml:space="preserve">Como los combustibles fósiles tienen su origen en la acumulación de grandes cantidades de restos orgánicos en un período de miles de millones de años, usualmente se los conoce como no renovables. Contrario a esto, las fuentes renovables de energía tienen su origen en ciclos más cortos de regeneración continuos basados, en su mayor parte, en la energía del Sol, disipándose a través de los ciclos naturales.  </w:t>
      </w:r>
    </w:p>
    <w:p w:rsidR="00B55852" w:rsidRPr="00D67F44" w:rsidRDefault="00B55852" w:rsidP="00B55852">
      <w:pPr>
        <w:rPr>
          <w:rFonts w:ascii="Arial" w:hAnsi="Arial" w:cs="Arial"/>
          <w:sz w:val="28"/>
          <w:szCs w:val="28"/>
        </w:rPr>
      </w:pPr>
      <w:r w:rsidRPr="00D67F44">
        <w:rPr>
          <w:rFonts w:ascii="Arial" w:hAnsi="Arial" w:cs="Arial"/>
          <w:sz w:val="28"/>
          <w:szCs w:val="28"/>
        </w:rPr>
        <w:t>A su vez, a diferencia de las fuentes de energía no renovables, se caracterizan por estar geográficamente bien distribuidas, ser inagotables, con impacto ambiental prácticamente nulo y por no contribuir a la emisión de ningún tipo de gases o subproductos residuales. En la Argentina, la gran mayoría de la energía consumida es de origen fósil (88 %), siendo las principales fuentes el petróleo y el gas natural. En el ámbito rural, el escenario energético presenta algunas características particulares (Battista y Justianovich, 2015, 2016). Según los datos del Censo Nacional de Población, Hogares y Vivienda 2010, el 8,97% de la población Argentina habita el espacio rural (casi 3.780.000 pobladores), donde se accede a leña o carbón, electricidad o Gas Licuado GLP (dependiendo el caso) como fuente de energía para calentamiento de agua.</w:t>
      </w:r>
    </w:p>
    <w:p w:rsidR="00B55852" w:rsidRPr="00D67F44" w:rsidRDefault="00B55852" w:rsidP="00B55852">
      <w:pPr>
        <w:pStyle w:val="Default"/>
        <w:rPr>
          <w:sz w:val="28"/>
          <w:szCs w:val="28"/>
        </w:rPr>
      </w:pPr>
      <w:r w:rsidRPr="00D67F44">
        <w:rPr>
          <w:sz w:val="28"/>
          <w:szCs w:val="28"/>
        </w:rPr>
        <w:lastRenderedPageBreak/>
        <w:t xml:space="preserve">El mismo Censo, indica que el 97% de los hogares en Argentina tiene acceso a la red de energía eléctrica5. En este contexto, la problemática del acceso a la energía parecería quedar con poco sustento. Sin embargo, en la práctica se ponen en evidencia las fallas de la actual matriz de energía y principalmente, de su distribución en el territorio. Si dejamos de lado lo cuantitativo y ponemos en juego la calidad, encontramos que, a muy cortas distancias de los grandes centros urbanos del país, existen serios problemas con la calidad del servicio (intermitencias, baja tensión, picos de tensión, con todos los problemas asociados que ello genera). </w:t>
      </w:r>
    </w:p>
    <w:p w:rsidR="00B55852" w:rsidRPr="00D67F44" w:rsidRDefault="00B55852" w:rsidP="00B55852">
      <w:pPr>
        <w:rPr>
          <w:rFonts w:ascii="Arial" w:hAnsi="Arial" w:cs="Arial"/>
          <w:sz w:val="28"/>
          <w:szCs w:val="28"/>
        </w:rPr>
      </w:pPr>
      <w:r w:rsidRPr="00D67F44">
        <w:rPr>
          <w:rFonts w:ascii="Arial" w:hAnsi="Arial" w:cs="Arial"/>
          <w:sz w:val="28"/>
          <w:szCs w:val="28"/>
        </w:rPr>
        <w:t>En síntesis, la calidad recibida y la percibida6 por parte de la población rural no siempre es buena y trae consigo problemas que terminan afectando la calidad de vida y la economía familiar: equipos que se queman, falta de suministro que impide realizar labores diarias, consecuentes baja en la producción, entre otras. A su vez, alcanzar un alto grado de cobertura no implica necesariamente niveles significativos de consumo.</w:t>
      </w:r>
    </w:p>
    <w:p w:rsidR="00B55852" w:rsidRPr="00D67F44" w:rsidRDefault="00B55852" w:rsidP="00B55852">
      <w:pPr>
        <w:rPr>
          <w:rFonts w:ascii="Arial" w:hAnsi="Arial" w:cs="Arial"/>
          <w:sz w:val="28"/>
          <w:szCs w:val="28"/>
        </w:rPr>
      </w:pPr>
      <w:r w:rsidRPr="00D67F44">
        <w:rPr>
          <w:rFonts w:ascii="Arial" w:hAnsi="Arial" w:cs="Arial"/>
          <w:sz w:val="28"/>
          <w:szCs w:val="28"/>
        </w:rPr>
        <w:t>El modelo de generación de energía concentrado y dependiente podría ser complementado y/o reemplazado por uno descentralizado, diversificado en fuentes y renovable:</w:t>
      </w:r>
    </w:p>
    <w:p w:rsidR="00B55852" w:rsidRDefault="00B55852" w:rsidP="00B55852"/>
    <w:p w:rsidR="00B55852" w:rsidRDefault="00B55852" w:rsidP="00B55852">
      <w:pPr>
        <w:rPr>
          <w:rFonts w:ascii="Arial" w:hAnsi="Arial" w:cs="Arial"/>
          <w:sz w:val="24"/>
          <w:szCs w:val="24"/>
        </w:rPr>
      </w:pPr>
      <w:r>
        <w:rPr>
          <w:rFonts w:ascii="Arial" w:hAnsi="Arial" w:cs="Arial"/>
          <w:noProof/>
          <w:sz w:val="24"/>
          <w:szCs w:val="24"/>
          <w:lang w:val="es-AR" w:eastAsia="es-AR"/>
        </w:rPr>
        <w:drawing>
          <wp:inline distT="0" distB="0" distL="0" distR="0">
            <wp:extent cx="5612130" cy="1976495"/>
            <wp:effectExtent l="19050" t="0" r="762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612130" cy="1976495"/>
                    </a:xfrm>
                    <a:prstGeom prst="rect">
                      <a:avLst/>
                    </a:prstGeom>
                    <a:noFill/>
                    <a:ln w="9525">
                      <a:noFill/>
                      <a:miter lim="800000"/>
                      <a:headEnd/>
                      <a:tailEnd/>
                    </a:ln>
                  </pic:spPr>
                </pic:pic>
              </a:graphicData>
            </a:graphic>
          </wp:inline>
        </w:drawing>
      </w:r>
    </w:p>
    <w:p w:rsidR="00B55852" w:rsidRPr="00D67F44" w:rsidRDefault="00B55852" w:rsidP="00B55852">
      <w:pPr>
        <w:rPr>
          <w:rFonts w:ascii="Arial" w:hAnsi="Arial" w:cs="Arial"/>
          <w:sz w:val="28"/>
          <w:szCs w:val="28"/>
        </w:rPr>
      </w:pPr>
      <w:r w:rsidRPr="00D67F44">
        <w:rPr>
          <w:rFonts w:ascii="Arial" w:hAnsi="Arial" w:cs="Arial"/>
          <w:sz w:val="28"/>
          <w:szCs w:val="28"/>
        </w:rPr>
        <w:t xml:space="preserve">Muchos autores sostienen que el modelo de “Energías Renovables Distribuidas”9, además de presentar ventajas ambientales, contribuye al desarrollo económico, potenciando la aparición de mercados descentralizados, creación de empleo y la introducción de capital en las comunidades.10 </w:t>
      </w:r>
    </w:p>
    <w:p w:rsidR="00B55852" w:rsidRPr="00D67F44" w:rsidRDefault="00B55852" w:rsidP="00B55852">
      <w:pPr>
        <w:rPr>
          <w:rFonts w:ascii="Arial" w:hAnsi="Arial" w:cs="Arial"/>
          <w:sz w:val="28"/>
          <w:szCs w:val="28"/>
        </w:rPr>
      </w:pPr>
      <w:r w:rsidRPr="00D67F44">
        <w:rPr>
          <w:rFonts w:ascii="Arial" w:hAnsi="Arial" w:cs="Arial"/>
          <w:sz w:val="28"/>
          <w:szCs w:val="28"/>
        </w:rPr>
        <w:lastRenderedPageBreak/>
        <w:t>Por otro lado, la intensificación en la producción y el consumo de combustibles fósiles, tanto a nivel mundial como local, ha desencadenado diversas problemáticas sobre el medio ambiente (lluvia ácida, contaminación atmosférica, efecto invernadero) y la economía global (fluctuaciones de precio, concentración del recur</w:t>
      </w:r>
      <w:r w:rsidR="00D67F44">
        <w:rPr>
          <w:rFonts w:ascii="Arial" w:hAnsi="Arial" w:cs="Arial"/>
          <w:sz w:val="28"/>
          <w:szCs w:val="28"/>
        </w:rPr>
        <w:t>so, conflictos entre países).</w:t>
      </w:r>
      <w:r w:rsidRPr="00D67F44">
        <w:rPr>
          <w:rFonts w:ascii="Arial" w:hAnsi="Arial" w:cs="Arial"/>
          <w:sz w:val="28"/>
          <w:szCs w:val="28"/>
        </w:rPr>
        <w:t>Los problemas antes descritos impactan sobre la población en general, y en particular en el ámbito agrario, donde a su vez se suman la gestión del agua y los residuos tanto domésticos como de las producciones agropecuarias. La población rural se caracteriza por ser de tipo dispersa, es decir, se localiza por fuera de los pueblos y por lo tanto no está abastecida por las redes de servicios de agua corriente y cloaca. Por ello, recurren a diversas estrategias para acceder al agua y disponer las aguas residuales y residuos generados. Las fuentes de agua empleadas para el abastecimiento de los hogares y las actividades productivas varían según la región, e incluyen el agua subterránea</w:t>
      </w:r>
      <w:r w:rsidR="00D67F44">
        <w:rPr>
          <w:rFonts w:ascii="Arial" w:hAnsi="Arial" w:cs="Arial"/>
          <w:sz w:val="28"/>
          <w:szCs w:val="28"/>
        </w:rPr>
        <w:t xml:space="preserve"> </w:t>
      </w:r>
      <w:r w:rsidRPr="00D67F44">
        <w:rPr>
          <w:rFonts w:ascii="Arial" w:hAnsi="Arial" w:cs="Arial"/>
          <w:sz w:val="28"/>
          <w:szCs w:val="28"/>
        </w:rPr>
        <w:t>(acuíferos), agua superficial (arroyos, ríos) y agua meteórica (agua de lluvia). A los fines didácticos se realiza una categorización de las fuentes de agua, pero en realidad forman parte del ciclo hidrológico por lo que estos compartimentos guardan estrecha relación</w:t>
      </w:r>
    </w:p>
    <w:p w:rsidR="00B55852" w:rsidRDefault="00B55852" w:rsidP="00B55852">
      <w:pPr>
        <w:rPr>
          <w:rFonts w:ascii="Arial" w:hAnsi="Arial" w:cs="Arial"/>
          <w:sz w:val="24"/>
          <w:szCs w:val="24"/>
        </w:rPr>
      </w:pPr>
      <w:r>
        <w:rPr>
          <w:rFonts w:ascii="Arial" w:hAnsi="Arial" w:cs="Arial"/>
          <w:noProof/>
          <w:sz w:val="24"/>
          <w:szCs w:val="24"/>
          <w:lang w:val="es-AR" w:eastAsia="es-AR"/>
        </w:rPr>
        <w:drawing>
          <wp:inline distT="0" distB="0" distL="0" distR="0">
            <wp:extent cx="5629395" cy="3394101"/>
            <wp:effectExtent l="19050" t="0" r="9405"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5636262" cy="3398241"/>
                    </a:xfrm>
                    <a:prstGeom prst="rect">
                      <a:avLst/>
                    </a:prstGeom>
                    <a:noFill/>
                    <a:ln w="9525">
                      <a:noFill/>
                      <a:miter lim="800000"/>
                      <a:headEnd/>
                      <a:tailEnd/>
                    </a:ln>
                  </pic:spPr>
                </pic:pic>
              </a:graphicData>
            </a:graphic>
          </wp:inline>
        </w:drawing>
      </w:r>
    </w:p>
    <w:p w:rsidR="00B55852" w:rsidRPr="00D67F44" w:rsidRDefault="00B55852" w:rsidP="00B55852">
      <w:pPr>
        <w:pStyle w:val="Default"/>
        <w:jc w:val="center"/>
        <w:rPr>
          <w:b/>
          <w:sz w:val="22"/>
          <w:szCs w:val="22"/>
        </w:rPr>
      </w:pPr>
      <w:r w:rsidRPr="00D67F44">
        <w:rPr>
          <w:b/>
          <w:sz w:val="22"/>
          <w:szCs w:val="22"/>
        </w:rPr>
        <w:lastRenderedPageBreak/>
        <w:t>Ciclo hidrológico.</w:t>
      </w:r>
    </w:p>
    <w:p w:rsidR="00B55852" w:rsidRPr="00D67F44" w:rsidRDefault="00B55852" w:rsidP="00B55852">
      <w:pPr>
        <w:pStyle w:val="Default"/>
        <w:jc w:val="center"/>
        <w:rPr>
          <w:b/>
          <w:sz w:val="22"/>
          <w:szCs w:val="22"/>
        </w:rPr>
      </w:pPr>
      <w:r w:rsidRPr="00D67F44">
        <w:rPr>
          <w:b/>
          <w:sz w:val="22"/>
          <w:szCs w:val="22"/>
        </w:rPr>
        <w:t xml:space="preserve">Ciclo hidrológico donde se observa los cambios de estado del agua y la relación entre las fuentes de agua subterránea, superficial y meteórica. P: precipitación; </w:t>
      </w:r>
      <w:proofErr w:type="spellStart"/>
      <w:r w:rsidRPr="00D67F44">
        <w:rPr>
          <w:b/>
          <w:sz w:val="22"/>
          <w:szCs w:val="22"/>
        </w:rPr>
        <w:t>Ev</w:t>
      </w:r>
      <w:proofErr w:type="spellEnd"/>
      <w:r w:rsidRPr="00D67F44">
        <w:rPr>
          <w:b/>
          <w:sz w:val="22"/>
          <w:szCs w:val="22"/>
        </w:rPr>
        <w:t xml:space="preserve">: evaporación; T: transpiración; </w:t>
      </w:r>
      <w:proofErr w:type="spellStart"/>
      <w:r w:rsidRPr="00D67F44">
        <w:rPr>
          <w:b/>
          <w:sz w:val="22"/>
          <w:szCs w:val="22"/>
        </w:rPr>
        <w:t>Evt</w:t>
      </w:r>
      <w:proofErr w:type="spellEnd"/>
      <w:r w:rsidRPr="00D67F44">
        <w:rPr>
          <w:b/>
          <w:sz w:val="22"/>
          <w:szCs w:val="22"/>
        </w:rPr>
        <w:t>: evapotranspiración.</w:t>
      </w:r>
    </w:p>
    <w:p w:rsidR="00B55852" w:rsidRDefault="00B55852" w:rsidP="00B55852">
      <w:pPr>
        <w:jc w:val="center"/>
        <w:rPr>
          <w:rFonts w:ascii="Arial" w:hAnsi="Arial" w:cs="Arial"/>
          <w:sz w:val="24"/>
          <w:szCs w:val="24"/>
        </w:rPr>
      </w:pPr>
      <w:r w:rsidRPr="00D67F44">
        <w:rPr>
          <w:b/>
        </w:rPr>
        <w:t>Fuente: Auge (2005).</w:t>
      </w:r>
    </w:p>
    <w:p w:rsidR="001E5C60" w:rsidRDefault="001E5C60" w:rsidP="001E5C60">
      <w:pPr>
        <w:rPr>
          <w:rFonts w:ascii="Arial" w:hAnsi="Arial" w:cs="Arial"/>
        </w:rPr>
      </w:pPr>
    </w:p>
    <w:p w:rsidR="001E5C60" w:rsidRDefault="001E5C60" w:rsidP="001E5C60">
      <w:pPr>
        <w:rPr>
          <w:rFonts w:ascii="Arial" w:hAnsi="Arial" w:cs="Arial"/>
        </w:rPr>
      </w:pPr>
    </w:p>
    <w:p w:rsidR="001E5C60" w:rsidRPr="00D67F44" w:rsidRDefault="001E5C60" w:rsidP="001E5C60">
      <w:pPr>
        <w:rPr>
          <w:rFonts w:ascii="Arial" w:hAnsi="Arial" w:cs="Arial"/>
          <w:sz w:val="28"/>
          <w:szCs w:val="28"/>
        </w:rPr>
      </w:pPr>
      <w:r w:rsidRPr="00D67F44">
        <w:rPr>
          <w:rFonts w:ascii="Arial" w:hAnsi="Arial" w:cs="Arial"/>
          <w:sz w:val="28"/>
          <w:szCs w:val="28"/>
        </w:rPr>
        <w:t xml:space="preserve">Por otro lado, las aguas residuales y residuos orgánicos domésticos y de las actividades productivas, están compuestos por materia orgánica, nutrientes y/o microorganismos patógenos, en distintas proporciones según el tipo de residuo. El correcto tratamiento de depuración o estabilización de estos residuos es indispensable para evitar la contaminación de las fuentes de agua. </w:t>
      </w:r>
    </w:p>
    <w:p w:rsidR="001E5C60" w:rsidRDefault="001E5C60" w:rsidP="001E5C60">
      <w:pPr>
        <w:rPr>
          <w:rFonts w:ascii="Arial" w:hAnsi="Arial" w:cs="Arial"/>
          <w:sz w:val="24"/>
          <w:szCs w:val="24"/>
        </w:rPr>
      </w:pPr>
      <w:r w:rsidRPr="00D67F44">
        <w:rPr>
          <w:rFonts w:ascii="Arial" w:hAnsi="Arial" w:cs="Arial"/>
          <w:sz w:val="28"/>
          <w:szCs w:val="28"/>
        </w:rPr>
        <w:t>El agua que forma los acuíferos se recarga por el agua de lluvia que infiltra y queda retenida en los poros de los sedimentos del subsuelo (arenas, limos) (Figura 3). La profundidad de los acuíferos es variable según la zona.</w:t>
      </w:r>
    </w:p>
    <w:p w:rsidR="001E5C60" w:rsidRDefault="001E5C60" w:rsidP="001E5C60">
      <w:pPr>
        <w:rPr>
          <w:rFonts w:ascii="Arial" w:hAnsi="Arial" w:cs="Arial"/>
          <w:sz w:val="24"/>
          <w:szCs w:val="24"/>
        </w:rPr>
      </w:pPr>
    </w:p>
    <w:p w:rsidR="001E5C60" w:rsidRDefault="001E5C60" w:rsidP="001E5C60">
      <w:pPr>
        <w:rPr>
          <w:rFonts w:ascii="Arial" w:hAnsi="Arial" w:cs="Arial"/>
          <w:sz w:val="24"/>
          <w:szCs w:val="24"/>
        </w:rPr>
      </w:pPr>
      <w:r>
        <w:rPr>
          <w:rFonts w:ascii="Arial" w:hAnsi="Arial" w:cs="Arial"/>
          <w:noProof/>
          <w:sz w:val="24"/>
          <w:szCs w:val="24"/>
          <w:lang w:val="es-AR" w:eastAsia="es-AR"/>
        </w:rPr>
        <w:drawing>
          <wp:inline distT="0" distB="0" distL="0" distR="0">
            <wp:extent cx="4275157" cy="3006540"/>
            <wp:effectExtent l="19050" t="0" r="0"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4281808" cy="3011217"/>
                    </a:xfrm>
                    <a:prstGeom prst="rect">
                      <a:avLst/>
                    </a:prstGeom>
                    <a:noFill/>
                    <a:ln w="9525">
                      <a:noFill/>
                      <a:miter lim="800000"/>
                      <a:headEnd/>
                      <a:tailEnd/>
                    </a:ln>
                  </pic:spPr>
                </pic:pic>
              </a:graphicData>
            </a:graphic>
          </wp:inline>
        </w:drawing>
      </w:r>
    </w:p>
    <w:p w:rsidR="001E5C60" w:rsidRPr="00D67F44" w:rsidRDefault="001E5C60" w:rsidP="001E5C60">
      <w:pPr>
        <w:rPr>
          <w:rFonts w:ascii="Arial" w:hAnsi="Arial" w:cs="Arial"/>
          <w:b/>
          <w:sz w:val="20"/>
          <w:szCs w:val="20"/>
        </w:rPr>
      </w:pPr>
      <w:r w:rsidRPr="00D67F44">
        <w:rPr>
          <w:rFonts w:ascii="Arial" w:hAnsi="Arial" w:cs="Arial"/>
          <w:b/>
          <w:sz w:val="20"/>
          <w:szCs w:val="20"/>
        </w:rPr>
        <w:t xml:space="preserve">Figura 3. Esquema de la recarga de acuíferos y zonificación del suelo y subsuelo. </w:t>
      </w:r>
    </w:p>
    <w:p w:rsidR="001E5C60" w:rsidRPr="00D67F44" w:rsidRDefault="001E5C60" w:rsidP="001E5C60">
      <w:pPr>
        <w:rPr>
          <w:rFonts w:ascii="Arial" w:hAnsi="Arial" w:cs="Arial"/>
          <w:b/>
          <w:sz w:val="20"/>
          <w:szCs w:val="20"/>
        </w:rPr>
      </w:pPr>
      <w:r w:rsidRPr="00D67F44">
        <w:rPr>
          <w:rFonts w:ascii="Arial" w:hAnsi="Arial" w:cs="Arial"/>
          <w:b/>
          <w:sz w:val="20"/>
          <w:szCs w:val="20"/>
        </w:rPr>
        <w:lastRenderedPageBreak/>
        <w:t>Las precipitaciones (fuente meteórica) recargan los acuíferos a través de la infiltración descendente, pasando por una zona no saturada (poros con aire y agua) hasta la zona saturada (poros llenos de agua). El techo de la zona saturada indica el nivel de la napa freática</w:t>
      </w:r>
    </w:p>
    <w:p w:rsidR="001E5C60" w:rsidRPr="00D67F44" w:rsidRDefault="001E5C60" w:rsidP="001E5C60">
      <w:pPr>
        <w:pStyle w:val="Default"/>
        <w:rPr>
          <w:sz w:val="28"/>
          <w:szCs w:val="28"/>
        </w:rPr>
      </w:pPr>
      <w:r w:rsidRPr="00D67F44">
        <w:rPr>
          <w:sz w:val="28"/>
          <w:szCs w:val="28"/>
        </w:rPr>
        <w:t xml:space="preserve">Los principales procesos que alteran la calidad del agua subterránea se deben al ingreso de sustancias y microorganismos por infiltración, y entre ellos destacan los nitratos, que son el producto de la degradación de materia orgánica como estiércol, materia fecal y sustratos ricos en proteína, así como microorganismos patógenos (virus, bacterias, entre otros). </w:t>
      </w:r>
    </w:p>
    <w:p w:rsidR="00CE4BD5" w:rsidRPr="00D67F44" w:rsidRDefault="001E5C60" w:rsidP="001E5C60">
      <w:pPr>
        <w:rPr>
          <w:rFonts w:ascii="Arial" w:hAnsi="Arial" w:cs="Arial"/>
          <w:sz w:val="28"/>
          <w:szCs w:val="28"/>
        </w:rPr>
      </w:pPr>
      <w:r w:rsidRPr="00D67F44">
        <w:rPr>
          <w:rFonts w:ascii="Arial" w:hAnsi="Arial" w:cs="Arial"/>
          <w:sz w:val="28"/>
          <w:szCs w:val="28"/>
        </w:rPr>
        <w:t>Las aguas superficiales pueden contaminarse por el arrastre de sustancias y microorganismos por escorrentía. Se conoce como eutrofización al proceso de enriquecimiento de nutrientes, en especial nitrógeno y fósforo, de los cuerpos de agua superficial derivados de las actividades humanas. El aporte de nutrientes provoca un crecimiento desmedido de algas, que disminuye el ingreso de luz en profundidad impidiendo la fotosíntesis de otras plantas. A su vez, la degradación de las algas por parte de las bacterias y organismos descomponedores que viven en el fondo consume oxígeno del agua, que queda menos disponible para el resto de los organismos que vive en el cuerpo de agua.</w:t>
      </w:r>
    </w:p>
    <w:p w:rsidR="001E5C60" w:rsidRPr="001E5C60" w:rsidRDefault="001E5C60" w:rsidP="001E5C60">
      <w:pPr>
        <w:rPr>
          <w:rFonts w:ascii="Arial" w:hAnsi="Arial" w:cs="Arial"/>
          <w:sz w:val="24"/>
          <w:szCs w:val="24"/>
        </w:rPr>
      </w:pPr>
    </w:p>
    <w:sectPr w:rsidR="001E5C60" w:rsidRPr="001E5C60" w:rsidSect="001214CE">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grammar="clean"/>
  <w:defaultTabStop w:val="708"/>
  <w:hyphenationZone w:val="425"/>
  <w:characterSpacingControl w:val="doNotCompress"/>
  <w:compat/>
  <w:rsids>
    <w:rsidRoot w:val="00E83D53"/>
    <w:rsid w:val="001214CE"/>
    <w:rsid w:val="001E5C60"/>
    <w:rsid w:val="00301BE8"/>
    <w:rsid w:val="004A7C5D"/>
    <w:rsid w:val="00724E00"/>
    <w:rsid w:val="00B55852"/>
    <w:rsid w:val="00CE4BD5"/>
    <w:rsid w:val="00D67F44"/>
    <w:rsid w:val="00E628E0"/>
    <w:rsid w:val="00E83D53"/>
    <w:rsid w:val="00EA56B7"/>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14CE"/>
    <w:rPr>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4A7C5D"/>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4A7C5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A7C5D"/>
    <w:rPr>
      <w:rFonts w:ascii="Tahoma" w:hAnsi="Tahoma" w:cs="Tahoma"/>
      <w:sz w:val="16"/>
      <w:szCs w:val="16"/>
      <w:lang w:val="es-ES_tradn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6</Pages>
  <Words>1239</Words>
  <Characters>6815</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dcterms:created xsi:type="dcterms:W3CDTF">2019-03-28T18:33:00Z</dcterms:created>
  <dcterms:modified xsi:type="dcterms:W3CDTF">2019-04-04T17:54:00Z</dcterms:modified>
</cp:coreProperties>
</file>